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BE82" w14:textId="77777777" w:rsidR="00631C6E" w:rsidRDefault="00631C6E" w:rsidP="00612192">
      <w:pPr>
        <w:pStyle w:val="Heading1"/>
        <w:spacing w:before="0" w:after="0"/>
      </w:pPr>
    </w:p>
    <w:p w14:paraId="677525B5" w14:textId="15B1742E" w:rsidR="00067E06" w:rsidRPr="00887858" w:rsidRDefault="00067E06" w:rsidP="00612192">
      <w:pPr>
        <w:pStyle w:val="Heading1"/>
        <w:spacing w:before="0" w:after="0"/>
      </w:pPr>
      <w:r w:rsidRPr="00887858">
        <w:t xml:space="preserve">Quick Guide to Teaching </w:t>
      </w:r>
      <w:r w:rsidR="00887858" w:rsidRPr="00887858">
        <w:t xml:space="preserve">Condensed-Format </w:t>
      </w:r>
      <w:r w:rsidRPr="00887858">
        <w:t>Courses</w:t>
      </w:r>
    </w:p>
    <w:p w14:paraId="1262C05C" w14:textId="1DA2EC6A" w:rsidR="00A5749A" w:rsidRPr="00612192" w:rsidRDefault="00A5749A" w:rsidP="008C3E30">
      <w:pPr>
        <w:rPr>
          <w:rFonts w:cstheme="minorHAnsi"/>
          <w:sz w:val="24"/>
          <w:szCs w:val="20"/>
        </w:rPr>
      </w:pPr>
      <w:r w:rsidRPr="00612192">
        <w:rPr>
          <w:rFonts w:cstheme="minorHAnsi"/>
          <w:sz w:val="24"/>
          <w:szCs w:val="20"/>
        </w:rPr>
        <w:t>Courses taught in less than 15 weeks can be successful and highly rewarding</w:t>
      </w:r>
      <w:r w:rsidR="00067E06" w:rsidRPr="00612192">
        <w:rPr>
          <w:rFonts w:cstheme="minorHAnsi"/>
          <w:sz w:val="24"/>
          <w:szCs w:val="20"/>
        </w:rPr>
        <w:t>.</w:t>
      </w:r>
      <w:r w:rsidRPr="00612192">
        <w:rPr>
          <w:rFonts w:cstheme="minorHAnsi"/>
          <w:sz w:val="24"/>
          <w:szCs w:val="20"/>
        </w:rPr>
        <w:t xml:space="preserve"> </w:t>
      </w:r>
      <w:r w:rsidR="00631C6E">
        <w:rPr>
          <w:rFonts w:cstheme="minorHAnsi"/>
          <w:sz w:val="24"/>
          <w:szCs w:val="20"/>
        </w:rPr>
        <w:t>To ensure your students are achieving course-learning outcomes and not consumed with “busy-work,” consult t</w:t>
      </w:r>
      <w:r w:rsidR="00AE51D5" w:rsidRPr="00612192">
        <w:rPr>
          <w:rFonts w:cstheme="minorHAnsi"/>
          <w:sz w:val="24"/>
          <w:szCs w:val="20"/>
        </w:rPr>
        <w:t>he Wake Fo</w:t>
      </w:r>
      <w:r w:rsidR="00AE51D5" w:rsidRPr="00612192">
        <w:rPr>
          <w:rFonts w:cstheme="minorHAnsi"/>
          <w:sz w:val="24"/>
          <w:szCs w:val="20"/>
        </w:rPr>
        <w:t>r</w:t>
      </w:r>
      <w:r w:rsidR="00AE51D5" w:rsidRPr="00612192">
        <w:rPr>
          <w:rFonts w:cstheme="minorHAnsi"/>
          <w:sz w:val="24"/>
          <w:szCs w:val="20"/>
        </w:rPr>
        <w:t>est Enhanced Course Workload Estimator</w:t>
      </w:r>
      <w:r w:rsidR="00612192">
        <w:rPr>
          <w:rFonts w:cstheme="minorHAnsi"/>
          <w:sz w:val="24"/>
          <w:szCs w:val="20"/>
        </w:rPr>
        <w:t xml:space="preserve"> (</w:t>
      </w:r>
      <w:hyperlink r:id="rId7" w:history="1">
        <w:r w:rsidR="00612192" w:rsidRPr="003D5FD9">
          <w:rPr>
            <w:rStyle w:val="Hyperlink"/>
            <w:rFonts w:cstheme="minorHAnsi"/>
            <w:sz w:val="24"/>
            <w:szCs w:val="20"/>
          </w:rPr>
          <w:t>https://bit.ly/workload2</w:t>
        </w:r>
      </w:hyperlink>
      <w:r w:rsidR="00612192">
        <w:rPr>
          <w:rFonts w:cstheme="minorHAnsi"/>
          <w:sz w:val="24"/>
          <w:szCs w:val="20"/>
        </w:rPr>
        <w:t>)</w:t>
      </w:r>
      <w:r w:rsidR="00631C6E">
        <w:rPr>
          <w:rFonts w:cstheme="minorHAnsi"/>
          <w:sz w:val="24"/>
          <w:szCs w:val="20"/>
        </w:rPr>
        <w:t xml:space="preserve"> for estimating course workload.</w:t>
      </w:r>
      <w:r w:rsidR="007147A2">
        <w:rPr>
          <w:rFonts w:cstheme="minorHAnsi"/>
          <w:sz w:val="24"/>
          <w:szCs w:val="20"/>
        </w:rPr>
        <w:t xml:space="preserve"> The table below may be helpful in rethinking your course design. </w:t>
      </w:r>
    </w:p>
    <w:p w14:paraId="29DDBC36" w14:textId="77777777" w:rsidR="008C3E30" w:rsidRPr="00DD1DD0" w:rsidRDefault="008C3E30" w:rsidP="00A5749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28"/>
        <w:gridCol w:w="3597"/>
      </w:tblGrid>
      <w:tr w:rsidR="008C3E30" w:rsidRPr="00887858" w14:paraId="007AECF1" w14:textId="77777777" w:rsidTr="00393DCA">
        <w:trPr>
          <w:tblHeader/>
        </w:trPr>
        <w:tc>
          <w:tcPr>
            <w:tcW w:w="2965" w:type="dxa"/>
          </w:tcPr>
          <w:p w14:paraId="60EF5DCD" w14:textId="0BC08A7B" w:rsidR="008C3E30" w:rsidRPr="00887858" w:rsidRDefault="00CF3995" w:rsidP="00A5749A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887858">
              <w:rPr>
                <w:rStyle w:val="Strong"/>
                <w:rFonts w:cstheme="minorHAnsi"/>
                <w:sz w:val="20"/>
                <w:szCs w:val="20"/>
              </w:rPr>
              <w:t>Less</w:t>
            </w:r>
            <w:r w:rsidR="008C3E30" w:rsidRPr="00887858">
              <w:rPr>
                <w:rStyle w:val="Strong"/>
                <w:rFonts w:cstheme="minorHAnsi"/>
                <w:sz w:val="20"/>
                <w:szCs w:val="20"/>
              </w:rPr>
              <w:t xml:space="preserve"> time or more </w:t>
            </w:r>
            <w:r w:rsidR="00887858" w:rsidRPr="00887858">
              <w:rPr>
                <w:rStyle w:val="Strong"/>
                <w:rFonts w:cstheme="minorHAnsi"/>
                <w:sz w:val="20"/>
                <w:szCs w:val="20"/>
              </w:rPr>
              <w:t>condensed</w:t>
            </w:r>
            <w:r w:rsidR="008C3E30" w:rsidRPr="00887858">
              <w:rPr>
                <w:rStyle w:val="Strong"/>
                <w:rFonts w:cstheme="minorHAnsi"/>
                <w:sz w:val="20"/>
                <w:szCs w:val="20"/>
              </w:rPr>
              <w:t xml:space="preserve"> time for</w:t>
            </w:r>
            <w:r w:rsidR="00974AB0" w:rsidRPr="00887858">
              <w:rPr>
                <w:rStyle w:val="Strong"/>
                <w:rFonts w:cstheme="minorHAnsi"/>
                <w:sz w:val="20"/>
                <w:szCs w:val="20"/>
              </w:rPr>
              <w:t xml:space="preserve"> students to </w:t>
            </w:r>
            <w:r w:rsidR="008C3E30" w:rsidRPr="00887858">
              <w:rPr>
                <w:rStyle w:val="Strong"/>
                <w:rFonts w:cstheme="minorHAnsi"/>
                <w:sz w:val="20"/>
                <w:szCs w:val="20"/>
              </w:rPr>
              <w:t>. . .</w:t>
            </w:r>
          </w:p>
        </w:tc>
        <w:tc>
          <w:tcPr>
            <w:tcW w:w="4228" w:type="dxa"/>
            <w:vAlign w:val="bottom"/>
          </w:tcPr>
          <w:p w14:paraId="59EE5C82" w14:textId="415A65AC" w:rsidR="008C3E30" w:rsidRPr="00887858" w:rsidRDefault="008C3E30" w:rsidP="00CF3995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887858">
              <w:rPr>
                <w:rStyle w:val="Strong"/>
                <w:rFonts w:cstheme="minorHAnsi"/>
                <w:sz w:val="20"/>
                <w:szCs w:val="20"/>
              </w:rPr>
              <w:t>Which I can address if I . . .</w:t>
            </w:r>
          </w:p>
        </w:tc>
        <w:tc>
          <w:tcPr>
            <w:tcW w:w="3597" w:type="dxa"/>
          </w:tcPr>
          <w:p w14:paraId="285FDBAB" w14:textId="6321287D" w:rsidR="008C3E30" w:rsidRPr="00887858" w:rsidRDefault="00067E06" w:rsidP="00A5749A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887858">
              <w:rPr>
                <w:rStyle w:val="Strong"/>
                <w:rFonts w:cstheme="minorHAnsi"/>
                <w:sz w:val="20"/>
                <w:szCs w:val="20"/>
              </w:rPr>
              <w:t>R</w:t>
            </w:r>
            <w:r w:rsidR="008C3E30" w:rsidRPr="00887858">
              <w:rPr>
                <w:rStyle w:val="Strong"/>
                <w:rFonts w:cstheme="minorHAnsi"/>
                <w:sz w:val="20"/>
                <w:szCs w:val="20"/>
              </w:rPr>
              <w:t xml:space="preserve">ethink </w:t>
            </w:r>
            <w:r w:rsidRPr="00887858">
              <w:rPr>
                <w:rStyle w:val="Strong"/>
                <w:rFonts w:cstheme="minorHAnsi"/>
                <w:sz w:val="20"/>
                <w:szCs w:val="20"/>
              </w:rPr>
              <w:t>or</w:t>
            </w:r>
            <w:r w:rsidR="008C3E30" w:rsidRPr="00887858">
              <w:rPr>
                <w:rStyle w:val="Strong"/>
                <w:rFonts w:cstheme="minorHAnsi"/>
                <w:sz w:val="20"/>
                <w:szCs w:val="20"/>
              </w:rPr>
              <w:t xml:space="preserve"> redesign this aspect of </w:t>
            </w:r>
            <w:r w:rsidR="00CF3995" w:rsidRPr="00887858">
              <w:rPr>
                <w:rStyle w:val="Strong"/>
                <w:rFonts w:cstheme="minorHAnsi"/>
                <w:sz w:val="20"/>
                <w:szCs w:val="20"/>
              </w:rPr>
              <w:t>my</w:t>
            </w:r>
            <w:r w:rsidR="008C3E30" w:rsidRPr="00887858">
              <w:rPr>
                <w:rStyle w:val="Strong"/>
                <w:rFonts w:cstheme="minorHAnsi"/>
                <w:sz w:val="20"/>
                <w:szCs w:val="20"/>
              </w:rPr>
              <w:t xml:space="preserve"> course</w:t>
            </w:r>
          </w:p>
        </w:tc>
      </w:tr>
      <w:tr w:rsidR="008C3E30" w:rsidRPr="00DD1DD0" w14:paraId="01E031B8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08769" w14:textId="02732C25" w:rsidR="008C3E30" w:rsidRPr="00DD1DD0" w:rsidRDefault="00974AB0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Read</w:t>
            </w:r>
            <w:r w:rsidR="008C3E30" w:rsidRPr="00DD1DD0">
              <w:rPr>
                <w:rFonts w:cstheme="minorHAnsi"/>
                <w:sz w:val="20"/>
                <w:szCs w:val="20"/>
              </w:rPr>
              <w:t xml:space="preserve"> content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5B2ED" w14:textId="77777777" w:rsidR="00C60AC1" w:rsidRDefault="00C60AC1" w:rsidP="00E16801">
            <w:pPr>
              <w:pStyle w:val="ListParagraph"/>
            </w:pPr>
            <w:r>
              <w:t xml:space="preserve">Select most pertinent readings </w:t>
            </w:r>
          </w:p>
          <w:p w14:paraId="719101C3" w14:textId="4A04B939" w:rsidR="008C3E30" w:rsidRPr="00DD1DD0" w:rsidRDefault="008C3E30" w:rsidP="00D44276">
            <w:pPr>
              <w:pStyle w:val="ListParagraph"/>
            </w:pPr>
            <w:r w:rsidRPr="00DD1DD0">
              <w:t>Give individual students</w:t>
            </w:r>
            <w:r w:rsidR="00C60AC1">
              <w:t xml:space="preserve"> or small groups</w:t>
            </w:r>
            <w:r w:rsidRPr="00DD1DD0">
              <w:t xml:space="preserve"> </w:t>
            </w:r>
            <w:r w:rsidR="00BE371D">
              <w:t xml:space="preserve">a </w:t>
            </w:r>
            <w:r w:rsidRPr="00DD1DD0">
              <w:t xml:space="preserve">choice of readings and have them share </w:t>
            </w:r>
            <w:r w:rsidR="00C60AC1">
              <w:t xml:space="preserve">the key findings </w:t>
            </w:r>
            <w:r w:rsidRPr="00DD1DD0">
              <w:t>(e.g., jigsaw, discussion forum)</w:t>
            </w:r>
          </w:p>
          <w:p w14:paraId="6EB780EA" w14:textId="1FD15376" w:rsidR="008C3E30" w:rsidRPr="00DD1DD0" w:rsidRDefault="00C60AC1" w:rsidP="00E16801">
            <w:pPr>
              <w:pStyle w:val="ListParagraph"/>
            </w:pPr>
            <w:r>
              <w:t xml:space="preserve">Turn in a reflection </w:t>
            </w:r>
            <w:r w:rsidR="008C3E30" w:rsidRPr="00DD1DD0">
              <w:t>o</w:t>
            </w:r>
            <w:r>
              <w:t>f</w:t>
            </w:r>
            <w:r w:rsidR="008C3E30" w:rsidRPr="00DD1DD0">
              <w:t xml:space="preserve"> guided reading questions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97813" w14:textId="645E3D12" w:rsidR="008C3E30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8C3E30" w:rsidRPr="00DD1DD0" w14:paraId="4ADD40DE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017E5" w14:textId="4C699416" w:rsidR="008C3E30" w:rsidRPr="00DD1DD0" w:rsidRDefault="00974AB0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Process</w:t>
            </w:r>
            <w:r w:rsidR="008C3E30" w:rsidRPr="00DD1DD0">
              <w:rPr>
                <w:rFonts w:cstheme="minorHAnsi"/>
                <w:sz w:val="20"/>
                <w:szCs w:val="20"/>
              </w:rPr>
              <w:t xml:space="preserve"> new information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0CABA" w14:textId="77777777" w:rsidR="00121D61" w:rsidRPr="00DD1DD0" w:rsidRDefault="00121D61" w:rsidP="00E16801">
            <w:pPr>
              <w:pStyle w:val="ListParagraph"/>
            </w:pPr>
            <w:r w:rsidRPr="00DD1DD0">
              <w:t>Reduce new information</w:t>
            </w:r>
          </w:p>
          <w:p w14:paraId="6A3E2107" w14:textId="7B3F9FF5" w:rsidR="00121D61" w:rsidRPr="00DD1DD0" w:rsidRDefault="00121D61" w:rsidP="00E16801">
            <w:pPr>
              <w:pStyle w:val="ListParagraph"/>
            </w:pPr>
            <w:r w:rsidRPr="00DD1DD0">
              <w:t xml:space="preserve">Simplify </w:t>
            </w:r>
            <w:r w:rsidR="00BE371D">
              <w:t xml:space="preserve">the </w:t>
            </w:r>
            <w:r w:rsidRPr="00DD1DD0">
              <w:t>presentation of new information</w:t>
            </w:r>
          </w:p>
          <w:p w14:paraId="6C85F31D" w14:textId="77777777" w:rsidR="00121D61" w:rsidRPr="00DD1DD0" w:rsidRDefault="00121D61" w:rsidP="00E16801">
            <w:pPr>
              <w:pStyle w:val="ListParagraph"/>
            </w:pPr>
            <w:r w:rsidRPr="00DD1DD0">
              <w:t>Provide advanced organizers, diagrams</w:t>
            </w:r>
          </w:p>
          <w:p w14:paraId="1052F478" w14:textId="1CA65201" w:rsidR="00C60AC1" w:rsidRDefault="00121D61" w:rsidP="00E16801">
            <w:pPr>
              <w:pStyle w:val="ListParagraph"/>
            </w:pPr>
            <w:r w:rsidRPr="00DD1DD0">
              <w:t xml:space="preserve">Provide </w:t>
            </w:r>
            <w:r w:rsidR="00C60AC1">
              <w:t xml:space="preserve">skeleton </w:t>
            </w:r>
            <w:r w:rsidRPr="00DD1DD0">
              <w:t>notes</w:t>
            </w:r>
            <w:r w:rsidR="00C60AC1">
              <w:t xml:space="preserve"> before class session</w:t>
            </w:r>
          </w:p>
          <w:p w14:paraId="00015A94" w14:textId="190EEF96" w:rsidR="008C3E30" w:rsidRPr="00DD1DD0" w:rsidRDefault="00C60AC1" w:rsidP="00E16801">
            <w:pPr>
              <w:pStyle w:val="ListParagraph"/>
            </w:pPr>
            <w:r>
              <w:t>Provide study guide after class session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C9497" w14:textId="2EFAFD1C" w:rsidR="008C3E30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8C3E30" w:rsidRPr="00DD1DD0" w14:paraId="44CC773B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0E6E73" w14:textId="5D9BB869" w:rsidR="008C3E30" w:rsidRPr="00DD1DD0" w:rsidRDefault="00121D61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Reflect</w:t>
            </w:r>
            <w:r w:rsidR="00F349F4" w:rsidRPr="00DD1DD0">
              <w:rPr>
                <w:rFonts w:cstheme="minorHAnsi"/>
                <w:sz w:val="20"/>
                <w:szCs w:val="20"/>
              </w:rPr>
              <w:t xml:space="preserve"> on their experience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81450" w14:textId="77E776E9" w:rsidR="00121D61" w:rsidRDefault="00121D61" w:rsidP="00E16801">
            <w:pPr>
              <w:pStyle w:val="ListParagraph"/>
            </w:pPr>
            <w:r w:rsidRPr="00DD1DD0">
              <w:t>Provide reflection questions</w:t>
            </w:r>
            <w:r w:rsidR="00C60AC1">
              <w:t xml:space="preserve"> </w:t>
            </w:r>
          </w:p>
          <w:p w14:paraId="440A3B2E" w14:textId="77777777" w:rsidR="008C3E30" w:rsidRDefault="00C60AC1" w:rsidP="00612192">
            <w:pPr>
              <w:pStyle w:val="ListParagraph"/>
            </w:pPr>
            <w:r>
              <w:t>In the middle of class, pause, and ask students to reflect on learning to date</w:t>
            </w:r>
          </w:p>
          <w:p w14:paraId="35AFF789" w14:textId="35A63349" w:rsidR="00612192" w:rsidRPr="00DD1DD0" w:rsidRDefault="00612192" w:rsidP="00612192"/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820BB" w14:textId="7F83F562" w:rsidR="008C3E30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8C3E30" w:rsidRPr="00DD1DD0" w14:paraId="0AD4413B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06EF58" w14:textId="694A31CE" w:rsidR="008C3E30" w:rsidRPr="00DD1DD0" w:rsidRDefault="00121D61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Study for exams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5FAA9" w14:textId="6C98E07F" w:rsidR="00E16801" w:rsidRPr="00E16801" w:rsidRDefault="00E16801" w:rsidP="00E16801">
            <w:pPr>
              <w:pStyle w:val="ListParagraph"/>
            </w:pPr>
            <w:r w:rsidRPr="00E16801">
              <w:t>Place more emphasis on application</w:t>
            </w:r>
            <w:r>
              <w:t xml:space="preserve"> </w:t>
            </w:r>
            <w:r w:rsidRPr="00E16801">
              <w:t>and synthesis in exams</w:t>
            </w:r>
            <w:r>
              <w:t>;</w:t>
            </w:r>
            <w:r w:rsidRPr="00E16801">
              <w:t xml:space="preserve"> less on remembering</w:t>
            </w:r>
          </w:p>
          <w:p w14:paraId="6C18E5CC" w14:textId="088861F1" w:rsidR="008C3E30" w:rsidRPr="00E16801" w:rsidRDefault="00121D61">
            <w:pPr>
              <w:pStyle w:val="ListParagraph"/>
            </w:pPr>
            <w:r w:rsidRPr="00E16801">
              <w:t>Replace exams with other types of assessments (</w:t>
            </w:r>
            <w:r w:rsidR="00C60AC1">
              <w:t xml:space="preserve">pre-assessment </w:t>
            </w:r>
            <w:r w:rsidRPr="00E16801">
              <w:t xml:space="preserve">quizzes, </w:t>
            </w:r>
            <w:r w:rsidR="00C60AC1">
              <w:t>weekly quizzes instead of 2 exams a semester</w:t>
            </w:r>
            <w:r w:rsidRPr="00E16801">
              <w:t>)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4B36E" w14:textId="255B5147" w:rsidR="008C3E30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C3E30" w:rsidRPr="00DD1DD0" w14:paraId="19F4F546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D725BD" w14:textId="11FEDD5B" w:rsidR="008C3E30" w:rsidRPr="00DD1DD0" w:rsidRDefault="00121D61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Redo</w:t>
            </w:r>
            <w:r w:rsidR="00974AB0" w:rsidRPr="00DD1DD0">
              <w:rPr>
                <w:rFonts w:cstheme="minorHAnsi"/>
                <w:sz w:val="20"/>
                <w:szCs w:val="20"/>
              </w:rPr>
              <w:t xml:space="preserve"> or resubmit</w:t>
            </w:r>
            <w:r w:rsidRPr="00DD1DD0">
              <w:rPr>
                <w:rFonts w:cstheme="minorHAnsi"/>
                <w:sz w:val="20"/>
                <w:szCs w:val="20"/>
              </w:rPr>
              <w:t xml:space="preserve"> work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C67A6" w14:textId="732213B8" w:rsidR="00121D61" w:rsidRDefault="00121D61" w:rsidP="00E16801">
            <w:pPr>
              <w:pStyle w:val="ListParagraph"/>
            </w:pPr>
            <w:r w:rsidRPr="00DD1DD0">
              <w:t>Clarify</w:t>
            </w:r>
            <w:r w:rsidR="00C60AC1">
              <w:t xml:space="preserve"> assignment </w:t>
            </w:r>
            <w:r w:rsidRPr="00DD1DD0">
              <w:t>expectations</w:t>
            </w:r>
          </w:p>
          <w:p w14:paraId="0B4EB234" w14:textId="1CAD38E1" w:rsidR="00C60AC1" w:rsidRDefault="00C60AC1" w:rsidP="00E16801">
            <w:pPr>
              <w:pStyle w:val="ListParagraph"/>
            </w:pPr>
            <w:r>
              <w:t>Provide a detailed rubric</w:t>
            </w:r>
          </w:p>
          <w:p w14:paraId="3C6BDEDD" w14:textId="68A1FB1D" w:rsidR="00C60AC1" w:rsidRPr="00DD1DD0" w:rsidRDefault="00C60AC1" w:rsidP="00E16801">
            <w:pPr>
              <w:pStyle w:val="ListParagraph"/>
            </w:pPr>
            <w:r>
              <w:t>Show an excellent and unsatisfactory a poor example</w:t>
            </w:r>
          </w:p>
          <w:p w14:paraId="57CF8B11" w14:textId="370D2B36" w:rsidR="008C3E30" w:rsidRPr="00DD1DD0" w:rsidRDefault="00121D61" w:rsidP="00E16801">
            <w:pPr>
              <w:pStyle w:val="ListParagraph"/>
            </w:pPr>
            <w:r w:rsidRPr="00DD1DD0">
              <w:t>Allow</w:t>
            </w:r>
            <w:r w:rsidR="00C60AC1">
              <w:t xml:space="preserve"> students</w:t>
            </w:r>
            <w:r w:rsidRPr="00DD1DD0">
              <w:t xml:space="preserve"> to drop a lowest score 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6E8FC" w14:textId="40C87481" w:rsidR="008C3E30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8C3E30" w:rsidRPr="00DD1DD0" w14:paraId="7CA0C3BF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23D38" w14:textId="69241F43" w:rsidR="008C3E30" w:rsidRPr="00DD1DD0" w:rsidRDefault="00E16801" w:rsidP="00A5749A">
            <w:pPr>
              <w:rPr>
                <w:rFonts w:cstheme="minorHAnsi"/>
                <w:sz w:val="20"/>
                <w:szCs w:val="20"/>
              </w:rPr>
            </w:pPr>
            <w:r w:rsidRPr="00E16801">
              <w:rPr>
                <w:rFonts w:cstheme="minorHAnsi"/>
                <w:sz w:val="20"/>
                <w:szCs w:val="20"/>
              </w:rPr>
              <w:t>Ask for help on course-related components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4EC8E" w14:textId="77777777" w:rsidR="00E16801" w:rsidRPr="00E16801" w:rsidRDefault="00E16801" w:rsidP="00E16801">
            <w:pPr>
              <w:pStyle w:val="ListParagraph"/>
            </w:pPr>
            <w:r w:rsidRPr="00E16801">
              <w:t>Be very clear in communicating expectations (e.g., length, format, grading criteria)</w:t>
            </w:r>
          </w:p>
          <w:p w14:paraId="6DF3BABB" w14:textId="50A43051" w:rsidR="00E16801" w:rsidRPr="00E16801" w:rsidRDefault="00C60AC1" w:rsidP="00E16801">
            <w:pPr>
              <w:pStyle w:val="ListParagraph"/>
            </w:pPr>
            <w:r>
              <w:t>Prepare</w:t>
            </w:r>
            <w:r w:rsidR="00E16801" w:rsidRPr="00E16801">
              <w:t xml:space="preserve"> student questions</w:t>
            </w:r>
            <w:r>
              <w:t xml:space="preserve"> </w:t>
            </w:r>
            <w:r w:rsidR="00E16801" w:rsidRPr="00E16801">
              <w:t xml:space="preserve">and address </w:t>
            </w:r>
            <w:r>
              <w:t>them</w:t>
            </w:r>
          </w:p>
          <w:p w14:paraId="736688EF" w14:textId="3A890589" w:rsidR="00612192" w:rsidRDefault="00E16801" w:rsidP="00612192">
            <w:pPr>
              <w:pStyle w:val="ListParagraph"/>
            </w:pPr>
            <w:r w:rsidRPr="00E16801">
              <w:t>Provide examples of what projects look like in real-world practice</w:t>
            </w:r>
          </w:p>
          <w:p w14:paraId="6AA36F6C" w14:textId="3686FB61" w:rsidR="00612192" w:rsidRPr="00DD1DD0" w:rsidRDefault="00612192" w:rsidP="00612192">
            <w:pPr>
              <w:pStyle w:val="ListParagraph"/>
              <w:numPr>
                <w:ilvl w:val="0"/>
                <w:numId w:val="0"/>
              </w:numPr>
              <w:ind w:left="256"/>
            </w:pP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67986" w14:textId="75B86EF9" w:rsidR="008C3E30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349F4" w:rsidRPr="00DD1DD0" w14:paraId="24C1B612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BEDE8" w14:textId="064A923B" w:rsidR="00F349F4" w:rsidRPr="00DD1DD0" w:rsidRDefault="00F349F4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lastRenderedPageBreak/>
              <w:t xml:space="preserve">Seek support (e.g., tutoring, </w:t>
            </w:r>
            <w:r w:rsidR="00385BC3" w:rsidRPr="00DD1DD0">
              <w:rPr>
                <w:rFonts w:cstheme="minorHAnsi"/>
                <w:sz w:val="20"/>
                <w:szCs w:val="20"/>
              </w:rPr>
              <w:t xml:space="preserve">academic coach, wellness, </w:t>
            </w:r>
            <w:r w:rsidRPr="00DD1DD0">
              <w:rPr>
                <w:rFonts w:cstheme="minorHAnsi"/>
                <w:sz w:val="20"/>
                <w:szCs w:val="20"/>
              </w:rPr>
              <w:t>etc.)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2B10D" w14:textId="0FB04D83" w:rsidR="00F349F4" w:rsidRPr="00DD1DD0" w:rsidRDefault="00C60AC1">
            <w:pPr>
              <w:pStyle w:val="ListParagraph"/>
            </w:pPr>
            <w:r>
              <w:t xml:space="preserve">Include in the syllabus and mention in class available student resources 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3F690" w14:textId="799A4BF7" w:rsidR="00C32904" w:rsidRPr="00DD1DD0" w:rsidRDefault="00C32904" w:rsidP="00DF2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  <w:p w14:paraId="7A798C67" w14:textId="77777777" w:rsidR="00B722E4" w:rsidRDefault="00B722E4" w:rsidP="00DF20E4">
            <w:pPr>
              <w:rPr>
                <w:rFonts w:cstheme="minorHAnsi"/>
                <w:sz w:val="20"/>
                <w:szCs w:val="20"/>
              </w:rPr>
            </w:pPr>
          </w:p>
          <w:p w14:paraId="7E0F1C68" w14:textId="13AD4D42" w:rsidR="00B722E4" w:rsidRPr="00DD1DD0" w:rsidRDefault="00B722E4" w:rsidP="00DF20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4F8" w:rsidRPr="00DD1DD0" w14:paraId="782FF176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A769A" w14:textId="371E353D" w:rsidR="00D024F8" w:rsidRPr="00DD1DD0" w:rsidRDefault="00B722E4" w:rsidP="00A5749A">
            <w:pPr>
              <w:rPr>
                <w:rFonts w:cstheme="minorHAnsi"/>
                <w:sz w:val="20"/>
                <w:szCs w:val="20"/>
              </w:rPr>
            </w:pPr>
            <w:r w:rsidRPr="00B722E4">
              <w:rPr>
                <w:rFonts w:cstheme="minorHAnsi"/>
                <w:sz w:val="20"/>
                <w:szCs w:val="20"/>
              </w:rPr>
              <w:t>Review foundational knowledge</w:t>
            </w:r>
            <w:r>
              <w:rPr>
                <w:rFonts w:cstheme="minorHAnsi"/>
                <w:sz w:val="20"/>
                <w:szCs w:val="20"/>
              </w:rPr>
              <w:t xml:space="preserve"> (pre-requisites)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67333" w14:textId="77777777" w:rsidR="00D024F8" w:rsidRPr="00DD1DD0" w:rsidRDefault="00D024F8" w:rsidP="00E16801">
            <w:pPr>
              <w:pStyle w:val="ListParagraph"/>
            </w:pPr>
            <w:r w:rsidRPr="00DD1DD0">
              <w:t>Provide these resources at the outset</w:t>
            </w:r>
          </w:p>
          <w:p w14:paraId="2434DE72" w14:textId="3F99D06F" w:rsidR="00D024F8" w:rsidRPr="00DD1DD0" w:rsidRDefault="00C60AC1">
            <w:pPr>
              <w:pStyle w:val="ListParagraph"/>
            </w:pPr>
            <w:r>
              <w:t>Ask</w:t>
            </w:r>
            <w:r w:rsidR="00D024F8" w:rsidRPr="00DD1DD0">
              <w:t xml:space="preserve"> students to review the most relevant resources and explain what they discovered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4AEA9" w14:textId="5273CBC9" w:rsidR="00385BC3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  <w:p w14:paraId="0E1EE278" w14:textId="77777777" w:rsidR="00385BC3" w:rsidRPr="00DD1DD0" w:rsidRDefault="00385BC3" w:rsidP="00A5749A">
            <w:pPr>
              <w:rPr>
                <w:rFonts w:cstheme="minorHAnsi"/>
                <w:sz w:val="20"/>
                <w:szCs w:val="20"/>
              </w:rPr>
            </w:pPr>
          </w:p>
          <w:p w14:paraId="1B466F7E" w14:textId="117D4724" w:rsidR="00385BC3" w:rsidRPr="00DD1DD0" w:rsidRDefault="00385BC3" w:rsidP="00A57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4F8" w:rsidRPr="00DD1DD0" w14:paraId="0D941F4A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009CF7" w14:textId="0482234E" w:rsidR="00D024F8" w:rsidRPr="00DD1DD0" w:rsidRDefault="00D024F8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Obtain new resources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26408" w14:textId="66DF269A" w:rsidR="00D024F8" w:rsidRPr="00DD1DD0" w:rsidRDefault="00D024F8" w:rsidP="00E16801">
            <w:pPr>
              <w:pStyle w:val="ListParagraph"/>
            </w:pPr>
            <w:r w:rsidRPr="00DD1DD0">
              <w:t xml:space="preserve">Provide more resources upfront (e.g., curated set of </w:t>
            </w:r>
            <w:r w:rsidR="005C6D8F">
              <w:t xml:space="preserve">useful </w:t>
            </w:r>
            <w:r w:rsidRPr="00DD1DD0">
              <w:t>articles or websites)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45881" w14:textId="38D2B19C" w:rsidR="00D024F8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D024F8" w:rsidRPr="00DD1DD0" w14:paraId="02A11B51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4A9AE" w14:textId="47B88BAB" w:rsidR="00D024F8" w:rsidRPr="00DD1DD0" w:rsidRDefault="00D024F8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Complete long, multi-stage research projects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AAB51" w14:textId="0ADE0400" w:rsidR="00D024F8" w:rsidRPr="00DD1DD0" w:rsidRDefault="00D024F8" w:rsidP="00E16801">
            <w:pPr>
              <w:pStyle w:val="ListParagraph"/>
            </w:pPr>
            <w:r w:rsidRPr="00DD1DD0">
              <w:t>Replace with several smaller assessments that are not dependent on each other</w:t>
            </w:r>
          </w:p>
          <w:p w14:paraId="524B3092" w14:textId="3DD54142" w:rsidR="00D024F8" w:rsidRPr="00DD1DD0" w:rsidRDefault="00D024F8" w:rsidP="00FB3C0E">
            <w:pPr>
              <w:pStyle w:val="ListParagraph"/>
            </w:pPr>
            <w:r w:rsidRPr="00DD1DD0">
              <w:t xml:space="preserve">Merge two things into one to speed a process up (e.g., student introductions and their topic of </w:t>
            </w:r>
            <w:r w:rsidR="00B722E4" w:rsidRPr="00B722E4">
              <w:t xml:space="preserve">most significant </w:t>
            </w:r>
            <w:r w:rsidRPr="00DD1DD0">
              <w:t xml:space="preserve">interest in the course, which </w:t>
            </w:r>
            <w:r w:rsidR="00B722E4">
              <w:t>students</w:t>
            </w:r>
            <w:r w:rsidRPr="00DD1DD0">
              <w:t xml:space="preserve"> can later use as </w:t>
            </w:r>
            <w:r w:rsidR="00B722E4">
              <w:t xml:space="preserve">a </w:t>
            </w:r>
            <w:r w:rsidRPr="00DD1DD0">
              <w:t>basis for a research assignment)</w:t>
            </w:r>
          </w:p>
          <w:p w14:paraId="6C5E69E0" w14:textId="436A8925" w:rsidR="00D024F8" w:rsidRPr="00DD1DD0" w:rsidRDefault="00D024F8" w:rsidP="00E16801">
            <w:pPr>
              <w:pStyle w:val="ListParagraph"/>
            </w:pPr>
            <w:r w:rsidRPr="00DD1DD0">
              <w:t>Reduce length expectations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0A544" w14:textId="0F54D6AC" w:rsidR="00D024F8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D024F8" w:rsidRPr="00DD1DD0" w14:paraId="62907916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D8AD7" w14:textId="270CF2AF" w:rsidR="00D024F8" w:rsidRPr="00DD1DD0" w:rsidRDefault="00DF1D5E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Work</w:t>
            </w:r>
            <w:r w:rsidR="00D024F8" w:rsidRPr="00DD1DD0">
              <w:rPr>
                <w:rFonts w:cstheme="minorHAnsi"/>
                <w:sz w:val="20"/>
                <w:szCs w:val="20"/>
              </w:rPr>
              <w:t xml:space="preserve">group </w:t>
            </w:r>
            <w:r w:rsidR="005C6D8F">
              <w:rPr>
                <w:rFonts w:cstheme="minorHAnsi"/>
                <w:sz w:val="20"/>
                <w:szCs w:val="20"/>
              </w:rPr>
              <w:t>projects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64D63" w14:textId="6197CC9C" w:rsidR="00D024F8" w:rsidRPr="00DD1DD0" w:rsidRDefault="00D024F8" w:rsidP="00B722E4">
            <w:pPr>
              <w:pStyle w:val="ListParagraph"/>
            </w:pPr>
            <w:r w:rsidRPr="00DD1DD0">
              <w:t>Provide time-saving aids (e.g., templates</w:t>
            </w:r>
            <w:r w:rsidR="00E2335E" w:rsidRPr="00DD1DD0">
              <w:t>)</w:t>
            </w:r>
          </w:p>
          <w:p w14:paraId="77C39458" w14:textId="4D7CBF08" w:rsidR="00D024F8" w:rsidRPr="00DD1DD0" w:rsidRDefault="00D024F8" w:rsidP="00B722E4">
            <w:pPr>
              <w:pStyle w:val="ListParagraph"/>
            </w:pPr>
            <w:r w:rsidRPr="00DD1DD0">
              <w:t>Make the groupwork process more public:</w:t>
            </w:r>
          </w:p>
          <w:p w14:paraId="3ED83BB1" w14:textId="4D7FDB5D" w:rsidR="00B722E4" w:rsidRPr="00B722E4" w:rsidRDefault="00C32904" w:rsidP="00B722E4">
            <w:pPr>
              <w:pStyle w:val="ListParagraph"/>
              <w:numPr>
                <w:ilvl w:val="1"/>
                <w:numId w:val="17"/>
              </w:numPr>
              <w:ind w:left="422" w:hanging="180"/>
            </w:pPr>
            <w:r>
              <w:t>I</w:t>
            </w:r>
            <w:r w:rsidR="00B722E4" w:rsidRPr="00B722E4">
              <w:t xml:space="preserve">nitiate their use of useful collaboration tools </w:t>
            </w:r>
            <w:r>
              <w:t>(</w:t>
            </w:r>
            <w:hyperlink r:id="rId8" w:history="1">
              <w:r w:rsidRPr="00447A1B">
                <w:rPr>
                  <w:rStyle w:val="Hyperlink"/>
                </w:rPr>
                <w:t>https://bit.ly/isu-inst-tools</w:t>
              </w:r>
            </w:hyperlink>
            <w:r>
              <w:t>)</w:t>
            </w:r>
          </w:p>
          <w:p w14:paraId="6AF42841" w14:textId="231857A3" w:rsidR="00D024F8" w:rsidRPr="00DD1DD0" w:rsidRDefault="00D024F8" w:rsidP="00B722E4">
            <w:pPr>
              <w:pStyle w:val="ListParagraph"/>
              <w:numPr>
                <w:ilvl w:val="1"/>
                <w:numId w:val="17"/>
              </w:numPr>
              <w:ind w:left="422" w:hanging="180"/>
            </w:pPr>
            <w:r w:rsidRPr="00DD1DD0">
              <w:t>Assign them to complete plans for how/when they will accomplish work</w:t>
            </w:r>
            <w:r w:rsidR="00E2335E" w:rsidRPr="00DD1DD0">
              <w:t xml:space="preserve"> (e.g., expectations, group contracts, </w:t>
            </w:r>
            <w:r w:rsidR="00B722E4">
              <w:t>p</w:t>
            </w:r>
            <w:r w:rsidR="00E2335E" w:rsidRPr="00DD1DD0">
              <w:t xml:space="preserve">eer </w:t>
            </w:r>
            <w:r w:rsidR="00B722E4">
              <w:t>a</w:t>
            </w:r>
            <w:r w:rsidR="00E2335E" w:rsidRPr="00DD1DD0">
              <w:t>ssessments)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B930C3" w14:textId="0DE0C256" w:rsidR="00D024F8" w:rsidRPr="00DD1DD0" w:rsidRDefault="00C32904" w:rsidP="00786F65">
            <w:pPr>
              <w:tabs>
                <w:tab w:val="left" w:pos="16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E2335E" w:rsidRPr="00DD1DD0" w14:paraId="4810A295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BCD0F" w14:textId="6A109E25" w:rsidR="00E2335E" w:rsidRPr="00DD1DD0" w:rsidRDefault="00E2335E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Receive feedback before the next assignment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91C36" w14:textId="227BD845" w:rsidR="00E2335E" w:rsidRPr="00DD1DD0" w:rsidRDefault="00E2335E" w:rsidP="00E16801">
            <w:pPr>
              <w:pStyle w:val="ListParagraph"/>
            </w:pPr>
            <w:r w:rsidRPr="00DD1DD0">
              <w:t>Use rubrics and comment palettes</w:t>
            </w:r>
            <w:r w:rsidR="00B722E4">
              <w:t xml:space="preserve"> or the Tiered approach (</w:t>
            </w:r>
            <w:hyperlink r:id="rId9" w:history="1">
              <w:r w:rsidR="00B722E4" w:rsidRPr="00447A1B">
                <w:rPr>
                  <w:rStyle w:val="Hyperlink"/>
                </w:rPr>
                <w:t>https://bit.ly/3205D8b</w:t>
              </w:r>
            </w:hyperlink>
            <w:r w:rsidR="00B722E4">
              <w:t>)</w:t>
            </w:r>
          </w:p>
          <w:p w14:paraId="2166B61B" w14:textId="1C500B63" w:rsidR="00E2335E" w:rsidRPr="00DD1DD0" w:rsidRDefault="00E2335E">
            <w:pPr>
              <w:pStyle w:val="ListParagraph"/>
            </w:pPr>
            <w:r w:rsidRPr="00DD1DD0">
              <w:t>Give initial feedback to the whole class while preparing individual feedback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4F4CF" w14:textId="25DAA88F" w:rsidR="00E2335E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E2335E" w:rsidRPr="00DD1DD0" w14:paraId="25F18F35" w14:textId="77777777" w:rsidTr="00393DCA"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2C002" w14:textId="49D81CF5" w:rsidR="00E2335E" w:rsidRPr="00DD1DD0" w:rsidRDefault="00E2335E" w:rsidP="00A5749A">
            <w:pPr>
              <w:rPr>
                <w:rFonts w:cstheme="minorHAnsi"/>
                <w:sz w:val="20"/>
                <w:szCs w:val="20"/>
              </w:rPr>
            </w:pPr>
            <w:r w:rsidRPr="00DD1DD0">
              <w:rPr>
                <w:rFonts w:cstheme="minorHAnsi"/>
                <w:sz w:val="20"/>
                <w:szCs w:val="20"/>
              </w:rPr>
              <w:t>Communicate with instructors</w:t>
            </w:r>
          </w:p>
        </w:tc>
        <w:tc>
          <w:tcPr>
            <w:tcW w:w="42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4EFDB" w14:textId="11BFB07C" w:rsidR="00A14F17" w:rsidRDefault="00A14F17" w:rsidP="00A14F17">
            <w:pPr>
              <w:pStyle w:val="ListParagraph"/>
            </w:pPr>
            <w:r w:rsidRPr="00A14F17">
              <w:t>Verify</w:t>
            </w:r>
            <w:r w:rsidR="00C60AC1">
              <w:t xml:space="preserve"> </w:t>
            </w:r>
            <w:r w:rsidRPr="00A14F17">
              <w:t>email, notification, and discussion subscription settings in Canvas</w:t>
            </w:r>
          </w:p>
          <w:p w14:paraId="2EF3241B" w14:textId="7BFE872F" w:rsidR="00C60AC1" w:rsidRPr="00A14F17" w:rsidRDefault="00C60AC1" w:rsidP="00A14F17">
            <w:pPr>
              <w:pStyle w:val="ListParagraph"/>
            </w:pPr>
            <w:r>
              <w:t>Communicate your availability with students</w:t>
            </w:r>
          </w:p>
          <w:p w14:paraId="5F0CC765" w14:textId="009B5C61" w:rsidR="00E2335E" w:rsidRPr="00DD1DD0" w:rsidRDefault="00A14F17" w:rsidP="00A14F17">
            <w:pPr>
              <w:pStyle w:val="ListParagraph"/>
            </w:pPr>
            <w:r w:rsidRPr="00A14F17">
              <w:t>Request students to post questions to a discussion board, allowing students to help respond and seeing my answer (if needed)</w:t>
            </w:r>
          </w:p>
        </w:tc>
        <w:tc>
          <w:tcPr>
            <w:tcW w:w="359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4A5027" w14:textId="4373F0B6" w:rsidR="00E2335E" w:rsidRPr="00DD1DD0" w:rsidRDefault="00C32904" w:rsidP="00A574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76AD0C5" w14:textId="77777777" w:rsidR="00A5749A" w:rsidRPr="00067E06" w:rsidRDefault="00A5749A" w:rsidP="00B722E4">
      <w:pPr>
        <w:spacing w:before="120"/>
        <w:rPr>
          <w:rFonts w:cstheme="minorHAnsi"/>
          <w:b/>
          <w:bCs/>
          <w:sz w:val="28"/>
          <w:szCs w:val="28"/>
        </w:rPr>
      </w:pPr>
      <w:r w:rsidRPr="00067E06">
        <w:rPr>
          <w:rFonts w:cstheme="minorHAnsi"/>
          <w:b/>
          <w:bCs/>
          <w:sz w:val="28"/>
          <w:szCs w:val="28"/>
        </w:rPr>
        <w:t>References</w:t>
      </w:r>
    </w:p>
    <w:p w14:paraId="539D8838" w14:textId="46C2BC58" w:rsidR="00A5749A" w:rsidRPr="00DD1DD0" w:rsidRDefault="00A5749A" w:rsidP="00067E06">
      <w:pPr>
        <w:ind w:left="720" w:hanging="720"/>
        <w:rPr>
          <w:rFonts w:cstheme="minorHAnsi"/>
          <w:sz w:val="20"/>
          <w:szCs w:val="20"/>
        </w:rPr>
      </w:pPr>
      <w:r w:rsidRPr="00DD1DD0">
        <w:rPr>
          <w:rFonts w:cstheme="minorHAnsi"/>
          <w:sz w:val="20"/>
          <w:szCs w:val="20"/>
        </w:rPr>
        <w:t>Kops, William J. (2014). Teaching compressed-format courses</w:t>
      </w:r>
      <w:r w:rsidR="00E2335E" w:rsidRPr="00DD1DD0">
        <w:rPr>
          <w:rFonts w:cstheme="minorHAnsi"/>
          <w:sz w:val="20"/>
          <w:szCs w:val="20"/>
        </w:rPr>
        <w:t xml:space="preserve">: </w:t>
      </w:r>
      <w:r w:rsidRPr="00DD1DD0">
        <w:rPr>
          <w:rFonts w:cstheme="minorHAnsi"/>
          <w:sz w:val="20"/>
          <w:szCs w:val="20"/>
        </w:rPr>
        <w:t>Teacher-</w:t>
      </w:r>
      <w:r w:rsidR="00E2335E" w:rsidRPr="00DD1DD0">
        <w:rPr>
          <w:rFonts w:cstheme="minorHAnsi"/>
          <w:sz w:val="20"/>
          <w:szCs w:val="20"/>
        </w:rPr>
        <w:t>b</w:t>
      </w:r>
      <w:r w:rsidRPr="00DD1DD0">
        <w:rPr>
          <w:rFonts w:cstheme="minorHAnsi"/>
          <w:sz w:val="20"/>
          <w:szCs w:val="20"/>
        </w:rPr>
        <w:t xml:space="preserve">ased </w:t>
      </w:r>
      <w:r w:rsidR="00E2335E" w:rsidRPr="00DD1DD0">
        <w:rPr>
          <w:rFonts w:cstheme="minorHAnsi"/>
          <w:sz w:val="20"/>
          <w:szCs w:val="20"/>
        </w:rPr>
        <w:t>b</w:t>
      </w:r>
      <w:r w:rsidRPr="00DD1DD0">
        <w:rPr>
          <w:rFonts w:cstheme="minorHAnsi"/>
          <w:sz w:val="20"/>
          <w:szCs w:val="20"/>
        </w:rPr>
        <w:t xml:space="preserve">est </w:t>
      </w:r>
      <w:r w:rsidR="00E2335E" w:rsidRPr="00DD1DD0">
        <w:rPr>
          <w:rFonts w:cstheme="minorHAnsi"/>
          <w:sz w:val="20"/>
          <w:szCs w:val="20"/>
        </w:rPr>
        <w:t>p</w:t>
      </w:r>
      <w:r w:rsidRPr="00DD1DD0">
        <w:rPr>
          <w:rFonts w:cstheme="minorHAnsi"/>
          <w:sz w:val="20"/>
          <w:szCs w:val="20"/>
        </w:rPr>
        <w:t>ractices.</w:t>
      </w:r>
      <w:r w:rsidR="00067E06" w:rsidRPr="00DD1DD0">
        <w:rPr>
          <w:rFonts w:cstheme="minorHAnsi"/>
          <w:sz w:val="20"/>
          <w:szCs w:val="20"/>
        </w:rPr>
        <w:t xml:space="preserve"> </w:t>
      </w:r>
      <w:r w:rsidRPr="00DD1DD0">
        <w:rPr>
          <w:rFonts w:cstheme="minorHAnsi"/>
          <w:i/>
          <w:iCs/>
          <w:sz w:val="20"/>
          <w:szCs w:val="20"/>
        </w:rPr>
        <w:t>Canadian Journal of University Continuing Education, 40</w:t>
      </w:r>
      <w:r w:rsidRPr="00DD1DD0">
        <w:rPr>
          <w:rFonts w:cstheme="minorHAnsi"/>
          <w:sz w:val="20"/>
          <w:szCs w:val="20"/>
        </w:rPr>
        <w:t>(1):1-18.</w:t>
      </w:r>
    </w:p>
    <w:p w14:paraId="798B5A7E" w14:textId="01E24929" w:rsidR="00385BC3" w:rsidRDefault="00A5749A" w:rsidP="00612192">
      <w:pPr>
        <w:ind w:left="720" w:hanging="720"/>
        <w:rPr>
          <w:rFonts w:cstheme="minorHAnsi"/>
        </w:rPr>
      </w:pPr>
      <w:r w:rsidRPr="00DD1DD0">
        <w:rPr>
          <w:rFonts w:cstheme="minorHAnsi"/>
          <w:sz w:val="20"/>
          <w:szCs w:val="20"/>
        </w:rPr>
        <w:t xml:space="preserve">Swenson, C. (2003). Accelerated and traditional formats: Using learning as a criterion for quality. </w:t>
      </w:r>
      <w:r w:rsidRPr="00DD1DD0">
        <w:rPr>
          <w:rFonts w:cstheme="minorHAnsi"/>
          <w:i/>
          <w:iCs/>
          <w:sz w:val="20"/>
          <w:szCs w:val="20"/>
        </w:rPr>
        <w:t>New Directions for Adult and Continuing Education, 97</w:t>
      </w:r>
      <w:r w:rsidRPr="00DD1DD0">
        <w:rPr>
          <w:rFonts w:cstheme="minorHAnsi"/>
          <w:sz w:val="20"/>
          <w:szCs w:val="20"/>
        </w:rPr>
        <w:t>, 83–92.</w:t>
      </w:r>
    </w:p>
    <w:p w14:paraId="304994D1" w14:textId="699709BA" w:rsidR="002474D6" w:rsidRDefault="002474D6">
      <w:pPr>
        <w:rPr>
          <w:rFonts w:cstheme="minorHAnsi"/>
          <w:spacing w:val="-8"/>
          <w:sz w:val="20"/>
          <w:szCs w:val="20"/>
        </w:rPr>
      </w:pPr>
      <w:r>
        <w:rPr>
          <w:rFonts w:cstheme="minorHAnsi"/>
          <w:noProof/>
          <w:spacing w:val="-8"/>
          <w:sz w:val="20"/>
          <w:szCs w:val="20"/>
        </w:rPr>
        <w:drawing>
          <wp:inline distT="0" distB="0" distL="0" distR="0" wp14:anchorId="625D054D" wp14:editId="3558850C">
            <wp:extent cx="623343" cy="214274"/>
            <wp:effectExtent l="0" t="0" r="0" b="1905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31" cy="22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DC02" w14:textId="78DF799E" w:rsidR="00DD1DD0" w:rsidRPr="002474D6" w:rsidRDefault="00385BC3">
      <w:pPr>
        <w:rPr>
          <w:rFonts w:cstheme="minorHAnsi"/>
          <w:sz w:val="20"/>
          <w:szCs w:val="20"/>
        </w:rPr>
      </w:pPr>
      <w:r w:rsidRPr="002474D6">
        <w:rPr>
          <w:rFonts w:cstheme="minorHAnsi"/>
          <w:sz w:val="20"/>
          <w:szCs w:val="20"/>
        </w:rPr>
        <w:t>Quick Guide to Teaching Compressed Courses</w:t>
      </w:r>
      <w:r w:rsidRPr="00385BC3">
        <w:rPr>
          <w:rFonts w:cstheme="minorHAnsi"/>
          <w:sz w:val="20"/>
          <w:szCs w:val="20"/>
        </w:rPr>
        <w:t>, by the </w:t>
      </w:r>
      <w:hyperlink r:id="rId11" w:tgtFrame="_blank" w:history="1">
        <w:r w:rsidRPr="00385BC3">
          <w:rPr>
            <w:rStyle w:val="Hyperlink"/>
            <w:rFonts w:cstheme="minorHAnsi"/>
            <w:sz w:val="20"/>
            <w:szCs w:val="20"/>
          </w:rPr>
          <w:t>Center for Excellence in Learning and Teaching (CELT)</w:t>
        </w:r>
      </w:hyperlink>
      <w:r w:rsidRPr="00385BC3">
        <w:rPr>
          <w:rFonts w:cstheme="minorHAnsi"/>
          <w:sz w:val="20"/>
          <w:szCs w:val="20"/>
        </w:rPr>
        <w:t> at </w:t>
      </w:r>
      <w:hyperlink r:id="rId12" w:tgtFrame="_blank" w:history="1">
        <w:r w:rsidRPr="00385BC3">
          <w:rPr>
            <w:rStyle w:val="Hyperlink"/>
            <w:rFonts w:cstheme="minorHAnsi"/>
            <w:sz w:val="20"/>
            <w:szCs w:val="20"/>
          </w:rPr>
          <w:t>Iowa State University</w:t>
        </w:r>
      </w:hyperlink>
      <w:r w:rsidRPr="00385BC3">
        <w:rPr>
          <w:rFonts w:cstheme="minorHAnsi"/>
          <w:sz w:val="20"/>
          <w:szCs w:val="20"/>
        </w:rPr>
        <w:t>, is licensed under </w:t>
      </w:r>
      <w:hyperlink r:id="rId13" w:tgtFrame="_blank" w:history="1">
        <w:r w:rsidRPr="00385BC3">
          <w:rPr>
            <w:rStyle w:val="Hyperlink"/>
            <w:rFonts w:cstheme="minorHAnsi"/>
            <w:sz w:val="20"/>
            <w:szCs w:val="20"/>
          </w:rPr>
          <w:t>Creative Commons BY-NC-SA 4.0</w:t>
        </w:r>
      </w:hyperlink>
      <w:r w:rsidRPr="00385BC3">
        <w:rPr>
          <w:rFonts w:cstheme="minorHAnsi"/>
          <w:sz w:val="20"/>
          <w:szCs w:val="20"/>
        </w:rPr>
        <w:t xml:space="preserve">. This work, </w:t>
      </w:r>
      <w:r w:rsidRPr="002474D6">
        <w:rPr>
          <w:rFonts w:cstheme="minorHAnsi"/>
          <w:sz w:val="20"/>
          <w:szCs w:val="20"/>
        </w:rPr>
        <w:t>Quick Guide to Teaching Compressed Courses</w:t>
      </w:r>
      <w:r w:rsidRPr="00385BC3">
        <w:rPr>
          <w:rFonts w:cstheme="minorHAnsi"/>
          <w:sz w:val="20"/>
          <w:szCs w:val="20"/>
        </w:rPr>
        <w:t xml:space="preserve">, is a derivative of </w:t>
      </w:r>
      <w:r w:rsidR="00DD1DD0" w:rsidRPr="002474D6">
        <w:rPr>
          <w:rFonts w:cstheme="minorHAnsi"/>
          <w:sz w:val="20"/>
          <w:szCs w:val="20"/>
        </w:rPr>
        <w:t xml:space="preserve">Quick Guide to Teaching Compressed Courses </w:t>
      </w:r>
      <w:r w:rsidRPr="00385BC3">
        <w:rPr>
          <w:rFonts w:cstheme="minorHAnsi"/>
          <w:sz w:val="20"/>
          <w:szCs w:val="20"/>
        </w:rPr>
        <w:t xml:space="preserve">developed by </w:t>
      </w:r>
      <w:r w:rsidRPr="002474D6">
        <w:rPr>
          <w:rFonts w:cstheme="minorHAnsi"/>
          <w:sz w:val="20"/>
          <w:szCs w:val="20"/>
        </w:rPr>
        <w:t xml:space="preserve">Center for the Advancement of Faculty Excellence, Queen’s University of </w:t>
      </w:r>
      <w:r w:rsidRPr="002474D6">
        <w:rPr>
          <w:rFonts w:cs="Calibri (Body)"/>
          <w:sz w:val="20"/>
          <w:szCs w:val="20"/>
        </w:rPr>
        <w:t>Charlotte</w:t>
      </w:r>
      <w:r w:rsidR="00D27E45" w:rsidRPr="002474D6">
        <w:rPr>
          <w:rFonts w:cs="Calibri (Body)"/>
          <w:sz w:val="20"/>
          <w:szCs w:val="20"/>
        </w:rPr>
        <w:t xml:space="preserve"> (retrieved on October29, 2020) from</w:t>
      </w:r>
      <w:r w:rsidR="0002735C" w:rsidRPr="002474D6">
        <w:rPr>
          <w:rFonts w:cstheme="minorHAnsi"/>
          <w:sz w:val="20"/>
          <w:szCs w:val="20"/>
        </w:rPr>
        <w:t xml:space="preserve"> ht</w:t>
      </w:r>
      <w:r w:rsidR="00D27E45" w:rsidRPr="002474D6">
        <w:rPr>
          <w:rFonts w:cs="Calibri (Body)"/>
          <w:sz w:val="20"/>
          <w:szCs w:val="20"/>
        </w:rPr>
        <w:t>tps://my.queens.edu/cafe/Best%20Practices%20Documents/Quick%20Guide%20to%20Teaching%20Compressed%20Courses.pdf</w:t>
      </w:r>
    </w:p>
    <w:sectPr w:rsidR="00DD1DD0" w:rsidRPr="002474D6" w:rsidSect="00DD1DD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08" w:right="720" w:bottom="720" w:left="720" w:header="208" w:footer="11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A150" w14:textId="77777777" w:rsidR="006950F3" w:rsidRDefault="006950F3">
      <w:r>
        <w:separator/>
      </w:r>
    </w:p>
  </w:endnote>
  <w:endnote w:type="continuationSeparator" w:id="0">
    <w:p w14:paraId="39ECC11F" w14:textId="77777777" w:rsidR="006950F3" w:rsidRDefault="006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A966" w14:textId="77777777" w:rsidR="008F66A5" w:rsidRDefault="006950F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4A99" w14:textId="0619F11D" w:rsidR="008C3E30" w:rsidRDefault="008C3E30">
    <w:pPr>
      <w:pStyle w:val="Footer"/>
    </w:pPr>
    <w:r>
      <w:rPr>
        <w:noProof/>
      </w:rPr>
      <w:drawing>
        <wp:inline distT="0" distB="0" distL="0" distR="0" wp14:anchorId="2C438B3A" wp14:editId="65A8EB59">
          <wp:extent cx="6858000" cy="5003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B4336" w14:textId="77777777" w:rsidR="006950F3" w:rsidRDefault="006950F3">
      <w:r>
        <w:separator/>
      </w:r>
    </w:p>
  </w:footnote>
  <w:footnote w:type="continuationSeparator" w:id="0">
    <w:p w14:paraId="36AC4A32" w14:textId="77777777" w:rsidR="006950F3" w:rsidRDefault="0069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7490" w14:textId="506A4F53" w:rsidR="00067E06" w:rsidRDefault="00067E06">
    <w:pPr>
      <w:pStyle w:val="Header"/>
    </w:pPr>
  </w:p>
  <w:p w14:paraId="197208E8" w14:textId="46CC7962" w:rsidR="00067E06" w:rsidRDefault="00067E06">
    <w:pPr>
      <w:pStyle w:val="Header"/>
    </w:pPr>
  </w:p>
  <w:p w14:paraId="2D597AEC" w14:textId="77777777" w:rsidR="00067E06" w:rsidRDefault="00067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23E9" w14:textId="1CDF5CAB" w:rsidR="008C3E30" w:rsidRDefault="008C3E30">
    <w:pPr>
      <w:pStyle w:val="Header"/>
    </w:pPr>
    <w:r>
      <w:rPr>
        <w:noProof/>
      </w:rPr>
      <w:drawing>
        <wp:inline distT="0" distB="0" distL="0" distR="0" wp14:anchorId="3FF2D0C1" wp14:editId="5804A9F7">
          <wp:extent cx="68580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4FF"/>
    <w:multiLevelType w:val="hybridMultilevel"/>
    <w:tmpl w:val="AFD86530"/>
    <w:lvl w:ilvl="0" w:tplc="7A4049BA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C1E278B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56184DB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7046B87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8D961A3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9DA2F9D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61AA370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CA48ACC6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CEE60C3E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921479"/>
    <w:multiLevelType w:val="hybridMultilevel"/>
    <w:tmpl w:val="41D03C10"/>
    <w:lvl w:ilvl="0" w:tplc="8E90D51C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15222FD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A78E68BA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0D9090F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7FD454F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8566151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DFF43FF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82183520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7972AAF2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4508AB"/>
    <w:multiLevelType w:val="hybridMultilevel"/>
    <w:tmpl w:val="906E5C70"/>
    <w:lvl w:ilvl="0" w:tplc="9824221A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B3A8A0AC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5DA63D7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D6F64BA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66764A5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B2700E3A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15AA6CC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BD561D00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F62449BC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BA4037"/>
    <w:multiLevelType w:val="hybridMultilevel"/>
    <w:tmpl w:val="9204513A"/>
    <w:lvl w:ilvl="0" w:tplc="8D6CD07A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8C52B94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6F963312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9D9CF2A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D9703426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159080E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1650598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04BE350E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AA0057D6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2C288C"/>
    <w:multiLevelType w:val="hybridMultilevel"/>
    <w:tmpl w:val="8FAC5B4A"/>
    <w:lvl w:ilvl="0" w:tplc="7F10F89E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7F820968">
      <w:numFmt w:val="bullet"/>
      <w:lvlText w:val="o"/>
      <w:lvlJc w:val="left"/>
      <w:pPr>
        <w:ind w:left="81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C765918">
      <w:numFmt w:val="bullet"/>
      <w:lvlText w:val="•"/>
      <w:lvlJc w:val="left"/>
      <w:pPr>
        <w:ind w:left="1347" w:hanging="361"/>
      </w:pPr>
      <w:rPr>
        <w:rFonts w:hint="default"/>
        <w:lang w:val="en-US" w:eastAsia="en-US" w:bidi="ar-SA"/>
      </w:rPr>
    </w:lvl>
    <w:lvl w:ilvl="3" w:tplc="58C61616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C0946BB0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ar-SA"/>
      </w:rPr>
    </w:lvl>
    <w:lvl w:ilvl="5" w:tplc="AF18D380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6" w:tplc="5CDE262E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7" w:tplc="361E678C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8" w:tplc="D97ABBDA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D0112F"/>
    <w:multiLevelType w:val="hybridMultilevel"/>
    <w:tmpl w:val="F1DE9A7A"/>
    <w:lvl w:ilvl="0" w:tplc="A28C7998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49A224C8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8466C1B6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0ED4212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E754FF1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CD780D6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C45212A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08D88A00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A46A18C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AB1E35"/>
    <w:multiLevelType w:val="multilevel"/>
    <w:tmpl w:val="414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45A35"/>
    <w:multiLevelType w:val="hybridMultilevel"/>
    <w:tmpl w:val="CFE4DDB6"/>
    <w:lvl w:ilvl="0" w:tplc="35D6B17A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0CBAAA9A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4E325A9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49F00F16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13224D9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427ACAD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540A9B0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4A32D1FE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8572FEE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4A424E"/>
    <w:multiLevelType w:val="multilevel"/>
    <w:tmpl w:val="C452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31720"/>
    <w:multiLevelType w:val="hybridMultilevel"/>
    <w:tmpl w:val="C52EF69C"/>
    <w:lvl w:ilvl="0" w:tplc="59F0A194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4A02BC0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E846413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38B2837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A76ED8F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3ADC78E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9E22F7B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03A8C166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0BAE746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5942DC"/>
    <w:multiLevelType w:val="multilevel"/>
    <w:tmpl w:val="78C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D20CD"/>
    <w:multiLevelType w:val="hybridMultilevel"/>
    <w:tmpl w:val="2D32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1B04"/>
    <w:multiLevelType w:val="hybridMultilevel"/>
    <w:tmpl w:val="14AEB0C0"/>
    <w:lvl w:ilvl="0" w:tplc="4622FD0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9017F"/>
    <w:multiLevelType w:val="multilevel"/>
    <w:tmpl w:val="403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D01E1"/>
    <w:multiLevelType w:val="hybridMultilevel"/>
    <w:tmpl w:val="81228CE4"/>
    <w:lvl w:ilvl="0" w:tplc="81AAF00A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38324F2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18C8358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F754F83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1E38C78E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41549AA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8CF88AD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45AEAAC2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4F500BF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1D36083"/>
    <w:multiLevelType w:val="hybridMultilevel"/>
    <w:tmpl w:val="7AAC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B4C02"/>
    <w:multiLevelType w:val="hybridMultilevel"/>
    <w:tmpl w:val="4112CC30"/>
    <w:lvl w:ilvl="0" w:tplc="ECE256DC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C34E2868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97EA6594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7E90FCEE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C72A22A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7492936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42F6695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8AB4BECE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6CA45DC6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B470744"/>
    <w:multiLevelType w:val="hybridMultilevel"/>
    <w:tmpl w:val="EA520746"/>
    <w:lvl w:ilvl="0" w:tplc="4F026B76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FFF870EA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30B26ADE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36FEF62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ABFEC89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4FDAB29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EFD09A1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1C8A32F6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6F128DF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E522C9C"/>
    <w:multiLevelType w:val="hybridMultilevel"/>
    <w:tmpl w:val="4560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CE480D"/>
    <w:multiLevelType w:val="multilevel"/>
    <w:tmpl w:val="A82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A626A"/>
    <w:multiLevelType w:val="hybridMultilevel"/>
    <w:tmpl w:val="88DE33F2"/>
    <w:lvl w:ilvl="0" w:tplc="3E8CF6F6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D020185A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7840C216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5B0C577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7988B9B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F2BA613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BD38C3F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01902E0E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2C10D2C6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181583D"/>
    <w:multiLevelType w:val="hybridMultilevel"/>
    <w:tmpl w:val="C474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00AC6"/>
    <w:multiLevelType w:val="hybridMultilevel"/>
    <w:tmpl w:val="FCD03A52"/>
    <w:lvl w:ilvl="0" w:tplc="CF92B460">
      <w:numFmt w:val="bullet"/>
      <w:lvlText w:val="•"/>
      <w:lvlJc w:val="left"/>
      <w:pPr>
        <w:ind w:left="489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ar-SA"/>
      </w:rPr>
    </w:lvl>
    <w:lvl w:ilvl="1" w:tplc="48EC045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CD20B95C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8EE68F9E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208CFE9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5" w:tplc="E1B6AD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6" w:tplc="A9EEAD9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7" w:tplc="E19EF730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8" w:tplc="78BAF316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2"/>
  </w:num>
  <w:num w:numId="6">
    <w:abstractNumId w:val="9"/>
  </w:num>
  <w:num w:numId="7">
    <w:abstractNumId w:val="5"/>
  </w:num>
  <w:num w:numId="8">
    <w:abstractNumId w:val="14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21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9A"/>
    <w:rsid w:val="000012BF"/>
    <w:rsid w:val="0000510F"/>
    <w:rsid w:val="0002735C"/>
    <w:rsid w:val="00067E06"/>
    <w:rsid w:val="000C7413"/>
    <w:rsid w:val="000E0181"/>
    <w:rsid w:val="00121D61"/>
    <w:rsid w:val="001B0262"/>
    <w:rsid w:val="001D039B"/>
    <w:rsid w:val="002474D6"/>
    <w:rsid w:val="002D0B87"/>
    <w:rsid w:val="00385BC3"/>
    <w:rsid w:val="00393DCA"/>
    <w:rsid w:val="00405A09"/>
    <w:rsid w:val="00413A3B"/>
    <w:rsid w:val="004B2C74"/>
    <w:rsid w:val="004D3C52"/>
    <w:rsid w:val="00522E62"/>
    <w:rsid w:val="00524FD4"/>
    <w:rsid w:val="0054376B"/>
    <w:rsid w:val="00555E25"/>
    <w:rsid w:val="005C6D8F"/>
    <w:rsid w:val="00604BDB"/>
    <w:rsid w:val="00612192"/>
    <w:rsid w:val="00627FC6"/>
    <w:rsid w:val="00631C6E"/>
    <w:rsid w:val="00644395"/>
    <w:rsid w:val="006950F3"/>
    <w:rsid w:val="006E6D49"/>
    <w:rsid w:val="007147A2"/>
    <w:rsid w:val="0072144F"/>
    <w:rsid w:val="00786F65"/>
    <w:rsid w:val="007A2A0F"/>
    <w:rsid w:val="00850FE4"/>
    <w:rsid w:val="00887858"/>
    <w:rsid w:val="008A60A2"/>
    <w:rsid w:val="008C3E30"/>
    <w:rsid w:val="008E0872"/>
    <w:rsid w:val="00913503"/>
    <w:rsid w:val="00974AB0"/>
    <w:rsid w:val="00994285"/>
    <w:rsid w:val="009D49B4"/>
    <w:rsid w:val="00A14F17"/>
    <w:rsid w:val="00A5749A"/>
    <w:rsid w:val="00AE51D5"/>
    <w:rsid w:val="00B458A1"/>
    <w:rsid w:val="00B4741C"/>
    <w:rsid w:val="00B51EAA"/>
    <w:rsid w:val="00B722E4"/>
    <w:rsid w:val="00BE371D"/>
    <w:rsid w:val="00BE5383"/>
    <w:rsid w:val="00C32904"/>
    <w:rsid w:val="00C51A19"/>
    <w:rsid w:val="00C60AC1"/>
    <w:rsid w:val="00CB3EAF"/>
    <w:rsid w:val="00CF3995"/>
    <w:rsid w:val="00CF3F69"/>
    <w:rsid w:val="00D024F8"/>
    <w:rsid w:val="00D27E45"/>
    <w:rsid w:val="00D33B9E"/>
    <w:rsid w:val="00D42BFC"/>
    <w:rsid w:val="00D80AF8"/>
    <w:rsid w:val="00DA7F9F"/>
    <w:rsid w:val="00DD1DD0"/>
    <w:rsid w:val="00DF1D5E"/>
    <w:rsid w:val="00E16801"/>
    <w:rsid w:val="00E2335E"/>
    <w:rsid w:val="00E7714D"/>
    <w:rsid w:val="00E8031E"/>
    <w:rsid w:val="00F31AAC"/>
    <w:rsid w:val="00F349F4"/>
    <w:rsid w:val="00F62D9A"/>
    <w:rsid w:val="00F8528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AD77"/>
  <w15:chartTrackingRefBased/>
  <w15:docId w15:val="{7EE69AA8-47EC-FC4C-8CC7-10C58EA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58"/>
    <w:pPr>
      <w:widowControl w:val="0"/>
      <w:autoSpaceDE w:val="0"/>
      <w:autoSpaceDN w:val="0"/>
    </w:pPr>
    <w:rPr>
      <w:rFonts w:eastAsia="Tahoma" w:cs="Tahom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87858"/>
    <w:pPr>
      <w:spacing w:before="240" w:after="240"/>
      <w:outlineLvl w:val="0"/>
    </w:pPr>
    <w:rPr>
      <w:rFonts w:cstheme="minorHAns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FE4"/>
    <w:pPr>
      <w:outlineLvl w:val="1"/>
    </w:pPr>
    <w:rPr>
      <w:rFonts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858"/>
    <w:rPr>
      <w:rFonts w:eastAsia="Tahoma" w:cstheme="minorHAnsi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A5749A"/>
  </w:style>
  <w:style w:type="character" w:customStyle="1" w:styleId="BodyTextChar">
    <w:name w:val="Body Text Char"/>
    <w:basedOn w:val="DefaultParagraphFont"/>
    <w:link w:val="BodyText"/>
    <w:uiPriority w:val="1"/>
    <w:rsid w:val="00A5749A"/>
    <w:rPr>
      <w:rFonts w:ascii="Tahoma" w:eastAsia="Tahoma" w:hAnsi="Tahoma" w:cs="Tahom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5749A"/>
    <w:pPr>
      <w:ind w:left="489"/>
    </w:pPr>
  </w:style>
  <w:style w:type="paragraph" w:styleId="ListParagraph">
    <w:name w:val="List Paragraph"/>
    <w:basedOn w:val="Normal"/>
    <w:uiPriority w:val="34"/>
    <w:qFormat/>
    <w:rsid w:val="00E16801"/>
    <w:pPr>
      <w:numPr>
        <w:numId w:val="17"/>
      </w:numPr>
      <w:ind w:left="256" w:hanging="256"/>
      <w:contextualSpacing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30"/>
    <w:rPr>
      <w:rFonts w:ascii="Tahoma" w:eastAsia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E30"/>
    <w:rPr>
      <w:rFonts w:ascii="Tahoma" w:eastAsia="Tahoma" w:hAnsi="Tahoma" w:cs="Tahoma"/>
      <w:sz w:val="22"/>
      <w:szCs w:val="22"/>
    </w:rPr>
  </w:style>
  <w:style w:type="table" w:styleId="TableGrid">
    <w:name w:val="Table Grid"/>
    <w:basedOn w:val="TableNormal"/>
    <w:uiPriority w:val="39"/>
    <w:rsid w:val="008C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7E0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50FE4"/>
    <w:rPr>
      <w:rFonts w:eastAsia="Tahoma" w:cstheme="minorHAns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5B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85B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0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AC1"/>
    <w:rPr>
      <w:rFonts w:eastAsia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AC1"/>
    <w:rPr>
      <w:rFonts w:eastAsia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C1"/>
    <w:rPr>
      <w:rFonts w:ascii="Segoe UI" w:eastAsia="Tahom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1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isu-inst-tools" TargetMode="External"/><Relationship Id="rId13" Type="http://schemas.openxmlformats.org/officeDocument/2006/relationships/hyperlink" Target="https://creativecommons.org/licenses/by-nc-sa/4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workload2" TargetMode="External"/><Relationship Id="rId12" Type="http://schemas.openxmlformats.org/officeDocument/2006/relationships/hyperlink" Target="http://www.iastate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lt.iastat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3205D8b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2020-11-16T20:47:00Z</dcterms:created>
  <dcterms:modified xsi:type="dcterms:W3CDTF">2020-11-16T20:47:00Z</dcterms:modified>
</cp:coreProperties>
</file>